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02050BA6" w:rsidR="009A28EF" w:rsidRPr="00730BF8" w:rsidRDefault="00006268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June 28,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1CCEDE4D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59AFA767" w14:textId="71AFB318" w:rsidR="00171746" w:rsidRPr="00730BF8" w:rsidRDefault="00171746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415-111-310 – Defined contribution account distribution (withdrawal)</w:t>
      </w:r>
      <w:r>
        <w:rPr>
          <w:rFonts w:ascii="Aptos" w:hAnsi="Aptos" w:cstheme="minorHAnsi"/>
        </w:rPr>
        <w:br/>
      </w:r>
      <w:r>
        <w:rPr>
          <w:rFonts w:ascii="Aptos" w:hAnsi="Aptos" w:cstheme="minorHAnsi"/>
        </w:rPr>
        <w:br/>
      </w:r>
      <w:r w:rsidR="00C9008C">
        <w:rPr>
          <w:rFonts w:ascii="Aptos" w:hAnsi="Aptos" w:cstheme="minorHAnsi"/>
        </w:rPr>
        <w:t>415-501-485 – How do I obtain a distribution?</w:t>
      </w:r>
    </w:p>
    <w:p w14:paraId="6A32F0D7" w14:textId="77777777" w:rsidR="0099024B" w:rsidRPr="00730BF8" w:rsidRDefault="0099024B" w:rsidP="0099024B">
      <w:pPr>
        <w:pStyle w:val="Default"/>
        <w:rPr>
          <w:rFonts w:ascii="Aptos" w:hAnsi="Aptos" w:cstheme="minorHAnsi"/>
        </w:rPr>
      </w:pPr>
    </w:p>
    <w:p w14:paraId="1B5A4B00" w14:textId="7DBBF5A0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053B5F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 xml:space="preserve"> Making changes to implement the in-service distribution provision from the SECURE Act of 2019 and the required minimum distribution provision from the SECURE Act of 2022.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4F9480CC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F36E08" w:rsidRPr="00F36E08">
        <w:rPr>
          <w:rFonts w:ascii="Aptos" w:hAnsi="Aptos" w:cstheme="minorHAnsi"/>
          <w:bCs/>
          <w:spacing w:val="-3"/>
          <w:szCs w:val="24"/>
        </w:rPr>
        <w:t>June 10,</w:t>
      </w:r>
      <w:r w:rsidR="00695955" w:rsidRPr="00F36E08">
        <w:rPr>
          <w:rFonts w:ascii="Aptos" w:hAnsi="Aptos" w:cstheme="minorHAnsi"/>
          <w:bCs/>
          <w:spacing w:val="-3"/>
          <w:szCs w:val="24"/>
        </w:rPr>
        <w:t xml:space="preserve"> 2024</w:t>
      </w:r>
      <w:r w:rsidR="00F31FA2" w:rsidRPr="00F36E08">
        <w:rPr>
          <w:rFonts w:ascii="Aptos" w:hAnsi="Aptos" w:cstheme="minorHAnsi"/>
          <w:bCs/>
          <w:spacing w:val="-3"/>
          <w:szCs w:val="24"/>
        </w:rPr>
        <w:t xml:space="preserve">, at </w:t>
      </w:r>
      <w:r w:rsidR="00F36E08" w:rsidRPr="00F36E08">
        <w:rPr>
          <w:rFonts w:ascii="Aptos" w:hAnsi="Aptos" w:cstheme="minorHAnsi"/>
          <w:bCs/>
          <w:spacing w:val="-3"/>
          <w:szCs w:val="24"/>
        </w:rPr>
        <w:t>2</w:t>
      </w:r>
      <w:r w:rsidR="00F31FA2" w:rsidRPr="00F36E08">
        <w:rPr>
          <w:rFonts w:ascii="Aptos" w:hAnsi="Aptos" w:cstheme="minorHAnsi"/>
          <w:bCs/>
          <w:spacing w:val="-3"/>
          <w:szCs w:val="24"/>
        </w:rPr>
        <w:t xml:space="preserve">:00 </w:t>
      </w:r>
      <w:r w:rsidR="008538F1" w:rsidRPr="00F36E08">
        <w:rPr>
          <w:rFonts w:ascii="Aptos" w:hAnsi="Aptos" w:cstheme="minorHAnsi"/>
          <w:bCs/>
          <w:spacing w:val="-3"/>
          <w:szCs w:val="24"/>
        </w:rPr>
        <w:t>p</w:t>
      </w:r>
      <w:r w:rsidR="00F31FA2" w:rsidRPr="00F36E08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5190" w14:textId="77777777" w:rsidR="000F634B" w:rsidRDefault="000F634B">
      <w:r>
        <w:separator/>
      </w:r>
    </w:p>
  </w:endnote>
  <w:endnote w:type="continuationSeparator" w:id="0">
    <w:p w14:paraId="53E0F588" w14:textId="77777777" w:rsidR="000F634B" w:rsidRDefault="000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70EF" w14:textId="77777777" w:rsidR="000F634B" w:rsidRDefault="000F634B">
      <w:r>
        <w:separator/>
      </w:r>
    </w:p>
  </w:footnote>
  <w:footnote w:type="continuationSeparator" w:id="0">
    <w:p w14:paraId="3F3DB8DD" w14:textId="77777777" w:rsidR="000F634B" w:rsidRDefault="000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06268"/>
    <w:rsid w:val="00053B5F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71746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609E3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B50C2"/>
    <w:rsid w:val="007C4B69"/>
    <w:rsid w:val="007D6B18"/>
    <w:rsid w:val="007E3C21"/>
    <w:rsid w:val="007E4625"/>
    <w:rsid w:val="0080179B"/>
    <w:rsid w:val="0081435D"/>
    <w:rsid w:val="008241D4"/>
    <w:rsid w:val="008538F1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9F4DA0"/>
    <w:rsid w:val="00A00745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80751"/>
    <w:rsid w:val="00BC41D4"/>
    <w:rsid w:val="00BD7A9C"/>
    <w:rsid w:val="00C27D67"/>
    <w:rsid w:val="00C3392D"/>
    <w:rsid w:val="00C419F1"/>
    <w:rsid w:val="00C724EF"/>
    <w:rsid w:val="00C7342E"/>
    <w:rsid w:val="00C8113B"/>
    <w:rsid w:val="00C9008C"/>
    <w:rsid w:val="00CE2E86"/>
    <w:rsid w:val="00CF2EB8"/>
    <w:rsid w:val="00D14E20"/>
    <w:rsid w:val="00D20466"/>
    <w:rsid w:val="00D47525"/>
    <w:rsid w:val="00D47A4C"/>
    <w:rsid w:val="00D861DA"/>
    <w:rsid w:val="00DA0DE1"/>
    <w:rsid w:val="00DB6591"/>
    <w:rsid w:val="00DB723A"/>
    <w:rsid w:val="00DC3E94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EC3685"/>
    <w:rsid w:val="00F26402"/>
    <w:rsid w:val="00F31FA2"/>
    <w:rsid w:val="00F36E08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0821-0799-4962-9911-4D585706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49</cp:revision>
  <cp:lastPrinted>2021-12-07T23:56:00Z</cp:lastPrinted>
  <dcterms:created xsi:type="dcterms:W3CDTF">2022-07-06T22:07:00Z</dcterms:created>
  <dcterms:modified xsi:type="dcterms:W3CDTF">2024-07-01T18:56:00Z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